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sz w:val="24"/>
          <w:szCs w:val="21"/>
        </w:rPr>
      </w:pPr>
      <w:r>
        <w:rPr>
          <w:rFonts w:hint="default" w:ascii="Times New Roman" w:hAnsi="Times New Roman" w:cs="Times New Roman"/>
          <w:b/>
          <w:sz w:val="24"/>
          <w:szCs w:val="21"/>
          <w:lang w:val="en-US" w:eastAsia="zh-CN"/>
        </w:rPr>
        <w:t>2019年</w:t>
      </w:r>
      <w:r>
        <w:rPr>
          <w:rFonts w:hint="default" w:ascii="Times New Roman" w:hAnsi="Times New Roman" w:cs="Times New Roman"/>
          <w:b/>
          <w:sz w:val="24"/>
          <w:szCs w:val="21"/>
        </w:rPr>
        <w:t>高等教育质量监测国家数据平台数据采集工作任务分配表</w:t>
      </w:r>
    </w:p>
    <w:tbl>
      <w:tblPr>
        <w:tblStyle w:val="9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094"/>
        <w:gridCol w:w="4823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jc w:val="both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分类</w:t>
            </w:r>
          </w:p>
        </w:tc>
        <w:tc>
          <w:tcPr>
            <w:tcW w:w="1094" w:type="dxa"/>
          </w:tcPr>
          <w:p>
            <w:pPr>
              <w:jc w:val="both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表序号</w:t>
            </w:r>
          </w:p>
        </w:tc>
        <w:tc>
          <w:tcPr>
            <w:tcW w:w="4823" w:type="dxa"/>
          </w:tcPr>
          <w:p>
            <w:pPr>
              <w:jc w:val="both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表名</w:t>
            </w:r>
          </w:p>
        </w:tc>
        <w:tc>
          <w:tcPr>
            <w:tcW w:w="2550" w:type="dxa"/>
          </w:tcPr>
          <w:p>
            <w:pPr>
              <w:jc w:val="both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承担部门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1.学校基本信息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表1-1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学校概况（时点）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发规处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表1-2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校区地址（时点）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发规处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表1-3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学校相关党政单位（时点）</w:t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质管办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表1-4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学校教学科研单位（时点）</w:t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质管办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表1-5-1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专业基本情况（时点）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表1-5-2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专业大类情况表（时点）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表1-6-1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教职工基本信息（时点）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人力资源处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表1-6-2</w:t>
            </w:r>
          </w:p>
        </w:tc>
        <w:tc>
          <w:tcPr>
            <w:tcW w:w="4823" w:type="dxa"/>
          </w:tcPr>
          <w:p>
            <w:pPr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教职工其他信息（时点）</w:t>
            </w:r>
          </w:p>
        </w:tc>
        <w:tc>
          <w:tcPr>
            <w:tcW w:w="2550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人力资源处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表1-6-</w:t>
            </w: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外聘教师</w:t>
            </w:r>
            <w:r>
              <w:rPr>
                <w:rFonts w:hint="eastAsia"/>
                <w:highlight w:val="none"/>
                <w:lang w:val="en-US" w:eastAsia="zh-CN"/>
              </w:rPr>
              <w:t>和兼职教师</w:t>
            </w:r>
            <w:r>
              <w:rPr>
                <w:rFonts w:hint="eastAsia"/>
                <w:highlight w:val="none"/>
              </w:rPr>
              <w:t>基本信息（时点）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人力资源处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表1-7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本科生基本情况（学年）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表1-8-1</w:t>
            </w:r>
          </w:p>
        </w:tc>
        <w:tc>
          <w:tcPr>
            <w:tcW w:w="4823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本科</w:t>
            </w:r>
            <w:r>
              <w:rPr>
                <w:highlight w:val="none"/>
              </w:rPr>
              <w:t>实验场所（时点）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资产与实验室管理处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表1-8-2</w:t>
            </w:r>
          </w:p>
        </w:tc>
        <w:tc>
          <w:tcPr>
            <w:tcW w:w="4823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科研基地</w:t>
            </w:r>
            <w:r>
              <w:rPr>
                <w:highlight w:val="none"/>
              </w:rPr>
              <w:t>（时点）</w:t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表1-9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办学指导思想（时点）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发规处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2.学校基本条件</w:t>
            </w: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表2-1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占地与建筑面积（时点）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资产与实验室管理处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表2-2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教学行政用房面积（时点）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资产与实验室管理处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表2-3-1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图书馆（自然年）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表2-3-2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图书当年新增情况（自然年）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表2-4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校外实习、实践、实训基地（时点、学年）</w:t>
            </w:r>
          </w:p>
        </w:tc>
        <w:tc>
          <w:tcPr>
            <w:tcW w:w="2550" w:type="dxa"/>
          </w:tcPr>
          <w:p>
            <w:pPr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表2-5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校园网（时点）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信息</w:t>
            </w:r>
            <w:r>
              <w:rPr>
                <w:rFonts w:hint="eastAsia"/>
                <w:highlight w:val="none"/>
                <w:lang w:val="en-US" w:eastAsia="zh-CN"/>
              </w:rPr>
              <w:t>化</w:t>
            </w:r>
            <w:r>
              <w:rPr>
                <w:rFonts w:hint="eastAsia"/>
                <w:highlight w:val="none"/>
              </w:rPr>
              <w:t>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表2-6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固定资产（时点）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资产与实验室管理处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表2-7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本科实验设备情况（时点）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资产与实验室管理处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表2-8</w:t>
            </w:r>
            <w:r>
              <w:rPr>
                <w:rFonts w:hint="eastAsia"/>
                <w:highlight w:val="none"/>
                <w:lang w:val="en-US" w:eastAsia="zh-CN"/>
              </w:rPr>
              <w:t>-1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实验教学示范中心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虚拟仿真实验</w:t>
            </w:r>
            <w:r>
              <w:rPr>
                <w:rFonts w:hint="eastAsia"/>
                <w:highlight w:val="none"/>
                <w:lang w:val="en-US" w:eastAsia="zh-CN"/>
              </w:rPr>
              <w:t>示范</w:t>
            </w:r>
            <w:r>
              <w:rPr>
                <w:rFonts w:hint="eastAsia"/>
                <w:highlight w:val="none"/>
              </w:rPr>
              <w:t>中心（时点）</w:t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资产与实验室管理处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表2-8</w:t>
            </w:r>
            <w:r>
              <w:rPr>
                <w:rFonts w:hint="eastAsia"/>
                <w:highlight w:val="none"/>
                <w:lang w:val="en-US" w:eastAsia="zh-CN"/>
              </w:rPr>
              <w:t>-2</w:t>
            </w:r>
          </w:p>
        </w:tc>
        <w:tc>
          <w:tcPr>
            <w:tcW w:w="4823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虚拟仿真实验教学项目（时点）</w:t>
            </w:r>
          </w:p>
        </w:tc>
        <w:tc>
          <w:tcPr>
            <w:tcW w:w="2550" w:type="dxa"/>
          </w:tcPr>
          <w:p>
            <w:pPr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表2-9-1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教育经费概况（自然年）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表2-9-2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教育经费收支情况（自然年）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3.教职工信息</w:t>
            </w: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表3-1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校领导基本信息（时点）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党政办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表3-2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相关管理人员基本信息（时点）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人力资源处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表3-3-1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高层次人才（时点）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人力资源处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表3-3-2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高层次教学、研究团队（时点）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表3-4-1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教师教学发展机构（学年）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表3-4-2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教师培训进修、交流情况（学年）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人力资源处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表3-5-1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教师主持科研项目情况（自然年）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表3-5-2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教师获得科研奖励情况（自然年）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表3-5-3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教师发表的论文情况（自然年）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科技处（教务处教学论文）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表3-5-4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教师出版专著和主编教材情况（自然年）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教务处-科技处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表3-5-5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教师专利（著作权）授权情况（自然年）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  <w:vAlign w:val="center"/>
          </w:tcPr>
          <w:p>
            <w:p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表3-5-6  </w:t>
            </w:r>
          </w:p>
        </w:tc>
        <w:tc>
          <w:tcPr>
            <w:tcW w:w="4823" w:type="dxa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教师科研成果转化情况（自然年）</w:t>
            </w:r>
          </w:p>
        </w:tc>
        <w:tc>
          <w:tcPr>
            <w:tcW w:w="2550" w:type="dxa"/>
          </w:tcPr>
          <w:p>
            <w:pPr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  <w:vAlign w:val="center"/>
          </w:tcPr>
          <w:p>
            <w:p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表3-6  </w:t>
            </w:r>
          </w:p>
        </w:tc>
        <w:tc>
          <w:tcPr>
            <w:tcW w:w="4823" w:type="dxa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创新创业教师情况（时点、学年、自然年）</w:t>
            </w:r>
          </w:p>
        </w:tc>
        <w:tc>
          <w:tcPr>
            <w:tcW w:w="2550" w:type="dxa"/>
          </w:tcPr>
          <w:p>
            <w:pPr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4.学科专业</w:t>
            </w: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表4-1-1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学科建设（时点）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研究生处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表4-1-2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博士后流动站（时点）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研究生处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表4-1-3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博士点、硕士点（时点）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研究生处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表4-1-4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重点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一流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  <w:r>
              <w:rPr>
                <w:rFonts w:hint="eastAsia"/>
                <w:highlight w:val="none"/>
              </w:rPr>
              <w:t>学科（时点）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研究生处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表4-2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专业培养计划表（学年）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表4-</w:t>
            </w: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4823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优势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一流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  <w:r>
              <w:rPr>
                <w:rFonts w:hint="eastAsia"/>
                <w:highlight w:val="none"/>
              </w:rPr>
              <w:t>专业情况（时点）</w:t>
            </w:r>
          </w:p>
        </w:tc>
        <w:tc>
          <w:tcPr>
            <w:tcW w:w="2550" w:type="dxa"/>
          </w:tcPr>
          <w:p>
            <w:pPr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restart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.人才培养</w:t>
            </w:r>
          </w:p>
        </w:tc>
        <w:tc>
          <w:tcPr>
            <w:tcW w:w="1094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表5-1-1</w:t>
            </w:r>
          </w:p>
        </w:tc>
        <w:tc>
          <w:tcPr>
            <w:tcW w:w="4823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开课情况（学年）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表5-1-2</w:t>
            </w:r>
          </w:p>
        </w:tc>
        <w:tc>
          <w:tcPr>
            <w:tcW w:w="4823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专业课教学实施情况（学年）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表5-1-3</w:t>
            </w:r>
          </w:p>
        </w:tc>
        <w:tc>
          <w:tcPr>
            <w:tcW w:w="4823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专业核心课程情况（学年）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表5-1-4</w:t>
            </w:r>
          </w:p>
        </w:tc>
        <w:tc>
          <w:tcPr>
            <w:tcW w:w="4823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分专业（大类）专业实验课情况（学年）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表5-1-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  <w:tc>
          <w:tcPr>
            <w:tcW w:w="4823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有关课程情况表（学年）</w:t>
            </w:r>
          </w:p>
        </w:tc>
        <w:tc>
          <w:tcPr>
            <w:tcW w:w="2550" w:type="dxa"/>
          </w:tcPr>
          <w:p>
            <w:pPr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表5-2-1</w:t>
            </w:r>
          </w:p>
        </w:tc>
        <w:tc>
          <w:tcPr>
            <w:tcW w:w="4823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分专业毕业综合训练情况（学年）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表5-2-2</w:t>
            </w:r>
          </w:p>
        </w:tc>
        <w:tc>
          <w:tcPr>
            <w:tcW w:w="4823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分专业教师指导学生毕业综合训练情况（非临床医学类专业填报）（学年）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80" w:type="dxa"/>
            <w:vMerge w:val="continue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表5-2-3</w:t>
            </w:r>
          </w:p>
        </w:tc>
        <w:tc>
          <w:tcPr>
            <w:tcW w:w="4823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临床医学专业学生毕业综合训练情况（学年）</w:t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表5-3 </w:t>
            </w:r>
          </w:p>
        </w:tc>
        <w:tc>
          <w:tcPr>
            <w:tcW w:w="4823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本科教学信息化（学年）</w:t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表5-4-1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创新创业教育情况（时点）</w:t>
            </w:r>
            <w:r>
              <w:rPr>
                <w:rFonts w:hint="eastAsia"/>
                <w:highlight w:val="none"/>
              </w:rPr>
              <w:tab/>
            </w:r>
            <w:bookmarkStart w:id="0" w:name="_GoBack"/>
            <w:bookmarkEnd w:id="0"/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表5-4-2</w:t>
            </w:r>
          </w:p>
        </w:tc>
        <w:tc>
          <w:tcPr>
            <w:tcW w:w="4823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高校创新创业教育实践基地（平台）（时点、自然年）</w:t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  <w:shd w:val="clear" w:color="auto" w:fill="auto"/>
          </w:tcPr>
          <w:p>
            <w:pPr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表5-4-</w:t>
            </w: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4823" w:type="dxa"/>
            <w:shd w:val="clear" w:color="auto" w:fill="auto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创新创业制度建设（时点）</w:t>
            </w:r>
          </w:p>
        </w:tc>
        <w:tc>
          <w:tcPr>
            <w:tcW w:w="2550" w:type="dxa"/>
          </w:tcPr>
          <w:p>
            <w:pPr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教务处、人力资源处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6.学生信息</w:t>
            </w: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表6-1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学生数量基本情况（时点）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表6-2-1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本科生转专业情况（学年）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表6-2-2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本科生辅修、双学位情况（学年）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表6-3-1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近一届本科生招生类别情况（时点）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表6-3-2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本科生（境外）情况（时点）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表6-3-3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近一级本科生录取标准及人数（时点）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表6-3-4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近一级各专业（大类）招生报到情况（时点）</w:t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表6-4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本科生奖贷补（自然年）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表6-5-1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应届本科毕业生就业情况（学年）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表6-5-2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应届本科毕业生分专业毕业就业情况（学年）</w:t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表6-6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本科生学习成效（学年）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表6-6-1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学生参加大学生创新创业训练计划情况（学年）</w:t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</w:t>
            </w:r>
            <w:r>
              <w:rPr>
                <w:highlight w:val="none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表6-6-2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学生参与教师科研项目情况（学年）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表6-6-3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学生获省级及以上各类竞赛奖励情况（学年）</w:t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表6-6-4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学生获专业比赛奖励情况（艺术类专业用）（学年）</w:t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团委 设计与</w:t>
            </w:r>
            <w:r>
              <w:rPr>
                <w:highlight w:val="none"/>
              </w:rPr>
              <w:t>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表6-6-5</w:t>
            </w:r>
          </w:p>
        </w:tc>
        <w:tc>
          <w:tcPr>
            <w:tcW w:w="4823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学生获专业比赛奖励情况（体育类专业用）（学年）</w:t>
            </w:r>
          </w:p>
        </w:tc>
        <w:tc>
          <w:tcPr>
            <w:tcW w:w="2550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表6-6</w:t>
            </w:r>
            <w:r>
              <w:rPr>
                <w:rFonts w:hint="eastAsia"/>
                <w:highlight w:val="none"/>
                <w:lang w:val="en-US" w:eastAsia="zh-CN"/>
              </w:rPr>
              <w:t>-6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学生发表学术论文情况（学年）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科技处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表6-6-</w:t>
            </w:r>
            <w:r>
              <w:rPr>
                <w:rFonts w:hint="eastAsia"/>
                <w:highlight w:val="none"/>
                <w:lang w:val="en-US" w:eastAsia="zh-CN"/>
              </w:rPr>
              <w:t>7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学生创作、表演的代表性作品（除美术学类专业外的其他艺术类专业用）（学年）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设计与艺术学院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表6-6-</w:t>
            </w:r>
            <w:r>
              <w:rPr>
                <w:rFonts w:hint="eastAsia"/>
                <w:highlight w:val="none"/>
                <w:lang w:val="en-US" w:eastAsia="zh-CN"/>
              </w:rPr>
              <w:t>8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学生专利（著作权）授权情况（学年）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科技处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表6-6-9 </w:t>
            </w:r>
          </w:p>
        </w:tc>
        <w:tc>
          <w:tcPr>
            <w:tcW w:w="4823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学生体质合格率（学年）</w:t>
            </w:r>
          </w:p>
        </w:tc>
        <w:tc>
          <w:tcPr>
            <w:tcW w:w="2550" w:type="dxa"/>
          </w:tcPr>
          <w:p>
            <w:pPr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体育教学部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表6-7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本科生交流情况（学年）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国交处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表6-8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学生社团（学年）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7.教学管理与质量监控</w:t>
            </w: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表7-</w:t>
            </w: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教学质量评估统计表（学年）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质管办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表7</w:t>
            </w:r>
            <w:r>
              <w:rPr>
                <w:rFonts w:hint="eastAsia"/>
                <w:highlight w:val="none"/>
                <w:lang w:val="en-US" w:eastAsia="zh-CN"/>
              </w:rPr>
              <w:t>-2</w:t>
            </w:r>
            <w:r>
              <w:rPr>
                <w:rFonts w:hint="eastAsia"/>
                <w:highlight w:val="none"/>
              </w:rPr>
              <w:t>-1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教育教学研究与改革项目（自然年）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表7-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highlight w:val="none"/>
              </w:rPr>
              <w:t>-2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教学成果奖（近一届）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表7-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highlight w:val="none"/>
              </w:rPr>
              <w:t>-3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省级及以上本科教学工程项目情况（自然年）</w:t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表7-</w:t>
            </w: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482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本科教学质量年度报告（</w:t>
            </w:r>
            <w:r>
              <w:rPr>
                <w:rFonts w:hint="eastAsia"/>
                <w:highlight w:val="none"/>
                <w:lang w:val="en-US" w:eastAsia="zh-CN"/>
              </w:rPr>
              <w:t>学年</w:t>
            </w:r>
            <w:r>
              <w:rPr>
                <w:rFonts w:hint="eastAsia"/>
                <w:highlight w:val="none"/>
              </w:rPr>
              <w:t>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255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质管办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/>
          <w:lang w:val="en-US"/>
        </w:rPr>
      </w:pPr>
    </w:p>
    <w:sectPr>
      <w:pgSz w:w="11906" w:h="16838"/>
      <w:pgMar w:top="1440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8B"/>
    <w:rsid w:val="00023783"/>
    <w:rsid w:val="00051459"/>
    <w:rsid w:val="000874EF"/>
    <w:rsid w:val="000D6ECF"/>
    <w:rsid w:val="000F2551"/>
    <w:rsid w:val="00120E71"/>
    <w:rsid w:val="001518BB"/>
    <w:rsid w:val="00196AB6"/>
    <w:rsid w:val="001A4355"/>
    <w:rsid w:val="001B408A"/>
    <w:rsid w:val="00213142"/>
    <w:rsid w:val="00217080"/>
    <w:rsid w:val="00265000"/>
    <w:rsid w:val="00283D04"/>
    <w:rsid w:val="002D6C93"/>
    <w:rsid w:val="00310647"/>
    <w:rsid w:val="00390E35"/>
    <w:rsid w:val="003A052F"/>
    <w:rsid w:val="00405E5B"/>
    <w:rsid w:val="004312A3"/>
    <w:rsid w:val="00460421"/>
    <w:rsid w:val="00467826"/>
    <w:rsid w:val="004B4D1E"/>
    <w:rsid w:val="004D050E"/>
    <w:rsid w:val="004E0B95"/>
    <w:rsid w:val="005877A0"/>
    <w:rsid w:val="005978A3"/>
    <w:rsid w:val="005C52AA"/>
    <w:rsid w:val="005D4650"/>
    <w:rsid w:val="005F6A66"/>
    <w:rsid w:val="006240A1"/>
    <w:rsid w:val="00626AE3"/>
    <w:rsid w:val="00633655"/>
    <w:rsid w:val="0066588E"/>
    <w:rsid w:val="006C5AF1"/>
    <w:rsid w:val="006C7B91"/>
    <w:rsid w:val="006D0DC3"/>
    <w:rsid w:val="006E23D4"/>
    <w:rsid w:val="00736BFB"/>
    <w:rsid w:val="00753CB9"/>
    <w:rsid w:val="00775F8B"/>
    <w:rsid w:val="007D1739"/>
    <w:rsid w:val="007E13BD"/>
    <w:rsid w:val="00817B8F"/>
    <w:rsid w:val="00883EAE"/>
    <w:rsid w:val="00900623"/>
    <w:rsid w:val="00974A53"/>
    <w:rsid w:val="0098339A"/>
    <w:rsid w:val="00995C19"/>
    <w:rsid w:val="009A6ED8"/>
    <w:rsid w:val="009B667F"/>
    <w:rsid w:val="009D4B79"/>
    <w:rsid w:val="00A13738"/>
    <w:rsid w:val="00A7411B"/>
    <w:rsid w:val="00AD6206"/>
    <w:rsid w:val="00AD67B1"/>
    <w:rsid w:val="00AF3E6D"/>
    <w:rsid w:val="00B2393D"/>
    <w:rsid w:val="00B343FE"/>
    <w:rsid w:val="00B44FAE"/>
    <w:rsid w:val="00B96AF6"/>
    <w:rsid w:val="00BB4873"/>
    <w:rsid w:val="00C32BEC"/>
    <w:rsid w:val="00C33FE1"/>
    <w:rsid w:val="00C9280D"/>
    <w:rsid w:val="00CA7AD2"/>
    <w:rsid w:val="00D377EF"/>
    <w:rsid w:val="00D430FA"/>
    <w:rsid w:val="00D44551"/>
    <w:rsid w:val="00D4637B"/>
    <w:rsid w:val="00D53379"/>
    <w:rsid w:val="00DB4283"/>
    <w:rsid w:val="00E7046D"/>
    <w:rsid w:val="00EC1A40"/>
    <w:rsid w:val="00EF7FC9"/>
    <w:rsid w:val="00FC2077"/>
    <w:rsid w:val="00FF5B0B"/>
    <w:rsid w:val="1E9A0E5A"/>
    <w:rsid w:val="280A6B5D"/>
    <w:rsid w:val="32F57494"/>
    <w:rsid w:val="4AEE6C99"/>
    <w:rsid w:val="511802B4"/>
    <w:rsid w:val="59E120F4"/>
    <w:rsid w:val="7D20492B"/>
    <w:rsid w:val="7D9050E9"/>
    <w:rsid w:val="7E1A2B81"/>
    <w:rsid w:val="7FE0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22"/>
    <w:rPr>
      <w:b/>
      <w:color w:val="555555"/>
      <w:sz w:val="21"/>
      <w:szCs w:val="21"/>
      <w:bdr w:val="single" w:color="CCCCCC" w:sz="6" w:space="0"/>
      <w:shd w:val="clear" w:fill="EEEEEE"/>
    </w:rPr>
  </w:style>
  <w:style w:type="character" w:styleId="12">
    <w:name w:val="FollowedHyperlink"/>
    <w:basedOn w:val="10"/>
    <w:semiHidden/>
    <w:unhideWhenUsed/>
    <w:qFormat/>
    <w:uiPriority w:val="99"/>
    <w:rPr>
      <w:color w:val="337AB7"/>
      <w:u w:val="none"/>
    </w:rPr>
  </w:style>
  <w:style w:type="character" w:styleId="13">
    <w:name w:val="HTML Definition"/>
    <w:basedOn w:val="10"/>
    <w:semiHidden/>
    <w:unhideWhenUsed/>
    <w:qFormat/>
    <w:uiPriority w:val="99"/>
    <w:rPr>
      <w:i/>
    </w:rPr>
  </w:style>
  <w:style w:type="character" w:styleId="14">
    <w:name w:val="Hyperlink"/>
    <w:basedOn w:val="10"/>
    <w:semiHidden/>
    <w:unhideWhenUsed/>
    <w:qFormat/>
    <w:uiPriority w:val="99"/>
    <w:rPr>
      <w:color w:val="337AB7"/>
      <w:u w:val="none"/>
    </w:rPr>
  </w:style>
  <w:style w:type="character" w:styleId="15">
    <w:name w:val="HTML Code"/>
    <w:basedOn w:val="10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7">
    <w:name w:val="HTML Keyboard"/>
    <w:basedOn w:val="10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10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9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22">
    <w:name w:val="批注文字 字符"/>
    <w:basedOn w:val="10"/>
    <w:link w:val="3"/>
    <w:semiHidden/>
    <w:qFormat/>
    <w:uiPriority w:val="99"/>
  </w:style>
  <w:style w:type="character" w:customStyle="1" w:styleId="23">
    <w:name w:val="批注主题 字符"/>
    <w:basedOn w:val="22"/>
    <w:link w:val="7"/>
    <w:semiHidden/>
    <w:qFormat/>
    <w:uiPriority w:val="99"/>
    <w:rPr>
      <w:b/>
      <w:bCs/>
    </w:rPr>
  </w:style>
  <w:style w:type="character" w:customStyle="1" w:styleId="24">
    <w:name w:val="jedateymchok"/>
    <w:basedOn w:val="10"/>
    <w:qFormat/>
    <w:uiPriority w:val="0"/>
    <w:rPr>
      <w:color w:val="FFFFFF"/>
      <w:sz w:val="18"/>
      <w:szCs w:val="18"/>
      <w:shd w:val="clear" w:fill="00A1CB"/>
    </w:rPr>
  </w:style>
  <w:style w:type="character" w:customStyle="1" w:styleId="25">
    <w:name w:val="new"/>
    <w:basedOn w:val="10"/>
    <w:uiPriority w:val="0"/>
    <w:rPr>
      <w:color w:val="999999"/>
    </w:rPr>
  </w:style>
  <w:style w:type="character" w:customStyle="1" w:styleId="26">
    <w:name w:val="old"/>
    <w:basedOn w:val="10"/>
    <w:qFormat/>
    <w:uiPriority w:val="0"/>
    <w:rPr>
      <w:color w:val="999999"/>
    </w:rPr>
  </w:style>
  <w:style w:type="character" w:customStyle="1" w:styleId="27">
    <w:name w:val="jedateymchle"/>
    <w:basedOn w:val="10"/>
    <w:qFormat/>
    <w:uiPriority w:val="0"/>
    <w:rPr>
      <w:color w:val="1F547E"/>
      <w:sz w:val="24"/>
      <w:szCs w:val="24"/>
      <w:shd w:val="clear" w:fill="ECF4FB"/>
    </w:rPr>
  </w:style>
  <w:style w:type="character" w:customStyle="1" w:styleId="28">
    <w:name w:val="hover2"/>
    <w:basedOn w:val="10"/>
    <w:qFormat/>
    <w:uiPriority w:val="0"/>
    <w:rPr>
      <w:shd w:val="clear" w:fill="EEEEEE"/>
    </w:rPr>
  </w:style>
  <w:style w:type="character" w:customStyle="1" w:styleId="29">
    <w:name w:val="jedateymchri"/>
    <w:basedOn w:val="10"/>
    <w:qFormat/>
    <w:uiPriority w:val="0"/>
    <w:rPr>
      <w:color w:val="1F547E"/>
      <w:sz w:val="24"/>
      <w:szCs w:val="24"/>
      <w:shd w:val="clear" w:fill="ECF4FB"/>
    </w:rPr>
  </w:style>
  <w:style w:type="character" w:customStyle="1" w:styleId="30">
    <w:name w:val="hover1"/>
    <w:basedOn w:val="10"/>
    <w:qFormat/>
    <w:uiPriority w:val="0"/>
    <w:rPr>
      <w:shd w:val="clear" w:fill="EEEEEE"/>
    </w:rPr>
  </w:style>
  <w:style w:type="character" w:customStyle="1" w:styleId="31">
    <w:name w:val="hover"/>
    <w:basedOn w:val="10"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359</Words>
  <Characters>2050</Characters>
  <Lines>17</Lines>
  <Paragraphs>4</Paragraphs>
  <TotalTime>0</TotalTime>
  <ScaleCrop>false</ScaleCrop>
  <LinksUpToDate>false</LinksUpToDate>
  <CharactersWithSpaces>2405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2018-05-22T04:43:00Z</dcterms:created>
  <dc:creator>jxg</dc:creator>
  <cp:lastModifiedBy>王洪航</cp:lastModifiedBy>
  <cp:lastPrinted>2019-07-15T06:45:00Z</cp:lastPrinted>
  <dcterms:modified xsi:type="dcterms:W3CDTF">2019-09-11T01:06:13Z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