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黑体" w:hAnsi="仿宋" w:eastAsia="黑体"/>
          <w:sz w:val="32"/>
          <w:szCs w:val="32"/>
        </w:rPr>
      </w:pPr>
      <w:bookmarkStart w:id="0" w:name="_GoBack"/>
      <w:r>
        <w:rPr>
          <w:rFonts w:hint="eastAsia" w:ascii="黑体" w:hAnsi="仿宋" w:eastAsia="黑体"/>
          <w:sz w:val="32"/>
          <w:szCs w:val="32"/>
        </w:rPr>
        <w:t>附件1</w:t>
      </w:r>
    </w:p>
    <w:bookmarkEnd w:id="0"/>
    <w:p>
      <w:pPr>
        <w:spacing w:line="460" w:lineRule="exact"/>
        <w:rPr>
          <w:rFonts w:hint="eastAsia" w:ascii="仿宋_GB2312" w:hAnsi="仿宋" w:eastAsia="仿宋_GB2312"/>
          <w:sz w:val="30"/>
          <w:szCs w:val="30"/>
        </w:rPr>
      </w:pPr>
    </w:p>
    <w:p>
      <w:pPr>
        <w:spacing w:line="460" w:lineRule="exact"/>
        <w:jc w:val="center"/>
        <w:rPr>
          <w:rFonts w:hint="eastAsia" w:ascii="方正小标宋简体" w:hAnsi="仿宋" w:eastAsia="方正小标宋简体"/>
          <w:sz w:val="38"/>
          <w:szCs w:val="38"/>
        </w:rPr>
      </w:pPr>
      <w:r>
        <w:rPr>
          <w:rFonts w:hint="eastAsia" w:ascii="方正小标宋简体" w:hAnsi="仿宋" w:eastAsia="方正小标宋简体"/>
          <w:sz w:val="38"/>
          <w:szCs w:val="38"/>
        </w:rPr>
        <w:t>2017年度上海市学校艺术科研项目指南</w:t>
      </w:r>
    </w:p>
    <w:p>
      <w:pPr>
        <w:spacing w:line="560" w:lineRule="exact"/>
        <w:rPr>
          <w:rFonts w:hint="eastAsia" w:ascii="黑体" w:eastAsia="黑体"/>
          <w:sz w:val="30"/>
          <w:szCs w:val="30"/>
        </w:rPr>
      </w:pPr>
    </w:p>
    <w:p>
      <w:pPr>
        <w:spacing w:line="420" w:lineRule="exact"/>
        <w:ind w:firstLine="600" w:firstLineChars="200"/>
        <w:rPr>
          <w:rFonts w:hint="eastAsia" w:ascii="黑体" w:hAnsi="仿宋" w:eastAsia="黑体" w:cs="宋体"/>
          <w:color w:val="000000"/>
          <w:kern w:val="0"/>
          <w:sz w:val="30"/>
          <w:szCs w:val="30"/>
        </w:rPr>
      </w:pPr>
      <w:r>
        <w:rPr>
          <w:rFonts w:hint="eastAsia" w:ascii="黑体" w:hAnsi="仿宋" w:eastAsia="黑体" w:cs="宋体"/>
          <w:color w:val="000000"/>
          <w:kern w:val="0"/>
          <w:sz w:val="30"/>
          <w:szCs w:val="30"/>
        </w:rPr>
        <w:t>一、招标项目</w:t>
      </w:r>
    </w:p>
    <w:p>
      <w:pPr>
        <w:spacing w:line="420" w:lineRule="exact"/>
        <w:ind w:firstLine="600" w:firstLineChars="200"/>
        <w:rPr>
          <w:rFonts w:hint="eastAsia" w:asci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（一）</w:t>
      </w:r>
      <w:r>
        <w:rPr>
          <w:rFonts w:hint="eastAsia" w:ascii="仿宋_GB2312" w:eastAsia="仿宋_GB2312" w:cs="仿宋_GB2312"/>
          <w:color w:val="000000"/>
          <w:sz w:val="30"/>
          <w:szCs w:val="30"/>
        </w:rPr>
        <w:t>构架以审美和人文素养为核心的美育课程体系</w:t>
      </w:r>
    </w:p>
    <w:p>
      <w:pPr>
        <w:spacing w:line="420" w:lineRule="exact"/>
        <w:ind w:firstLine="600" w:firstLineChars="200"/>
        <w:rPr>
          <w:rFonts w:hint="eastAsia" w:asci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eastAsia="仿宋_GB2312" w:cs="仿宋_GB2312"/>
          <w:color w:val="000000"/>
          <w:sz w:val="30"/>
          <w:szCs w:val="30"/>
        </w:rPr>
        <w:t>研究要求：开齐、开足、上好美育课程，探索美育课程改革。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中小学在优化音乐（唱游）、美术学科基础上，增设舞蹈、戏剧、戏曲、影视等多种美育科目，构建课内外、校内外相衔接的美育课程体系。积极探索艺术综合课程的有效实施，注重经典艺术范例内容，强化审美和人文素养。职业院校要开好与基础教育相衔接的美育课程，积极探索职业教育专业和学生特点相关的拓展课程。</w:t>
      </w:r>
      <w:r>
        <w:rPr>
          <w:rFonts w:hint="eastAsia" w:ascii="仿宋_GB2312" w:eastAsia="仿宋_GB2312" w:cs="仿宋_GB2312"/>
          <w:color w:val="000000"/>
          <w:sz w:val="30"/>
          <w:szCs w:val="30"/>
        </w:rPr>
        <w:t>普通高校开设公共艺术限定性、任意性选修课程，并计入学分。</w:t>
      </w:r>
    </w:p>
    <w:p>
      <w:pPr>
        <w:spacing w:line="420" w:lineRule="exact"/>
        <w:ind w:firstLine="600" w:firstLineChars="2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（二）中小学生艺术素质测评</w:t>
      </w:r>
    </w:p>
    <w:p>
      <w:pPr>
        <w:spacing w:line="420" w:lineRule="exact"/>
        <w:ind w:firstLine="600" w:firstLineChars="2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研究要求：学生艺术素养评价是深化教育改革、优化人才培养、完善人才选拔方式的需要，</w:t>
      </w:r>
      <w:r>
        <w:rPr>
          <w:rFonts w:hint="eastAsia" w:ascii="仿宋_GB2312" w:eastAsia="仿宋_GB2312"/>
          <w:sz w:val="30"/>
          <w:szCs w:val="30"/>
        </w:rPr>
        <w:t>是检验学校艺术教育成果的重要手段，是改进和加强学校艺术教育工作的重要依据，</w:t>
      </w:r>
      <w:r>
        <w:rPr>
          <w:rFonts w:hint="eastAsia" w:ascii="仿宋_GB2312" w:hAnsi="仿宋" w:eastAsia="仿宋_GB2312"/>
          <w:sz w:val="30"/>
          <w:szCs w:val="30"/>
        </w:rPr>
        <w:t>也是一项关系到“推进学校美育发展”目标能否落到实处的改革举措。依据艺术（音乐、美术、综合艺术）学科特点及艺术素质培育的主要途径确定评价标准，体现学科课程性质目标及艺术认知的特殊性，促进艺术课程建设、促进学生全面发展及综合素质提高，具有可操作性，能让绝大多数学生、家长及学校乐于接受。</w:t>
      </w:r>
    </w:p>
    <w:p>
      <w:pPr>
        <w:spacing w:line="420" w:lineRule="exact"/>
        <w:ind w:firstLine="600" w:firstLineChars="2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（三）建立社会艺术场馆、专业院团与学校艺术教育有效结合的机制</w:t>
      </w:r>
    </w:p>
    <w:p>
      <w:pPr>
        <w:spacing w:line="420" w:lineRule="exact"/>
        <w:ind w:firstLine="600" w:firstLineChars="2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研究要求：建设学生艺术实践基地，拓展学生艺术教育途径，开展场馆教学，丰富艺术课程教学形式和内容，推动社会艺术场馆、专业乐团与学生实践活动对接，综合提升大中小学生艺术教育素养。加强艺术教育实践基地、场馆教学的模式探究与运作力度，搭建平台、编辑教材、培训教师队伍、提供实践活动、发掘原创作品，让艺术走进大中小学生的课堂中、生活里，进一步推进美育教育，提高青少年艺术素养和整体素质。</w:t>
      </w:r>
    </w:p>
    <w:p>
      <w:pPr>
        <w:spacing w:line="420" w:lineRule="exact"/>
        <w:ind w:firstLine="600" w:firstLineChars="2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（四）完善上海学生高水平艺术团及其联盟的运行模式</w:t>
      </w:r>
    </w:p>
    <w:p>
      <w:pPr>
        <w:spacing w:line="420" w:lineRule="exact"/>
        <w:ind w:firstLine="600" w:firstLineChars="2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研究要求：推进学生艺术团品牌建设，依托上海交响乐团、上海民族乐团、上海芭蕾舞团、上海歌舞团等专业院团完善上海学生合唱团、上海学生民乐团、上海学生舞蹈团、上海学生戏剧团及联盟建设，使其成为引领本市学生文化艺术熏陶和修养、提升校园文化建设的重要平台；追求卓越、提高团队水平，扩大基础、面向全体学生，完善机制、理事会联盟扩容，加强师资、扩大兼职教师队伍；探索音乐素养培育新模式、完善内部指导与管理，构建支撑艺术团发展的保障机制，努力把学生艺术团打造成音乐后备人才的“摇篮”，建设成为上海学生素质教育的基地。</w:t>
      </w:r>
    </w:p>
    <w:p>
      <w:pPr>
        <w:spacing w:line="42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（五）中华优秀传统文化传承融入美育</w:t>
      </w:r>
    </w:p>
    <w:p>
      <w:pPr>
        <w:spacing w:line="420" w:lineRule="exact"/>
        <w:ind w:firstLine="600" w:firstLineChars="2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研究要求：围绕立德树人根本任务，遵循学生认知规律和教育教学规律，把中华优秀传统文化融入美育。编写中华文化系列少儿读物、绘本、童谣、儿歌、动画等，在大中小学艺术课程中增设中华优秀传统文化的内容，建设中华优秀文化艺术传承学校和基地，开展中华优秀文化师资培训，推进戏曲、书法、高雅艺术进校园，结合清明、端午、中秋、春节等传统节日组织开展学校体育、艺术教育，加强中华优秀传统文化成果展示，丰富拓展校园文化。</w:t>
      </w:r>
    </w:p>
    <w:p>
      <w:pPr>
        <w:spacing w:line="420" w:lineRule="exact"/>
        <w:ind w:firstLine="600" w:firstLineChars="200"/>
        <w:rPr>
          <w:rFonts w:hint="eastAsia" w:ascii="黑体" w:hAnsi="仿宋" w:eastAsia="黑体"/>
          <w:sz w:val="30"/>
          <w:szCs w:val="30"/>
        </w:rPr>
      </w:pPr>
      <w:r>
        <w:rPr>
          <w:rFonts w:hint="eastAsia" w:ascii="黑体" w:hAnsi="仿宋" w:eastAsia="黑体"/>
          <w:sz w:val="30"/>
          <w:szCs w:val="30"/>
        </w:rPr>
        <w:t>二、重点项目、一般项目、青年项目指南</w:t>
      </w:r>
    </w:p>
    <w:p>
      <w:pPr>
        <w:spacing w:line="420" w:lineRule="exact"/>
        <w:ind w:firstLine="600" w:firstLineChars="2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（一）学校美育理论</w:t>
      </w:r>
    </w:p>
    <w:p>
      <w:pPr>
        <w:pStyle w:val="5"/>
        <w:snapToGrid w:val="0"/>
        <w:spacing w:before="0" w:beforeAutospacing="0" w:after="0" w:afterAutospacing="0" w:line="420" w:lineRule="exact"/>
        <w:ind w:firstLine="600" w:firstLineChars="200"/>
        <w:jc w:val="both"/>
        <w:rPr>
          <w:rFonts w:hint="eastAsia" w:ascii="仿宋_GB2312" w:hAnsi="仿宋" w:eastAsia="仿宋_GB2312" w:cs="Times New Roman"/>
          <w:kern w:val="2"/>
          <w:sz w:val="30"/>
          <w:szCs w:val="30"/>
        </w:rPr>
      </w:pPr>
      <w:r>
        <w:rPr>
          <w:rFonts w:hint="eastAsia" w:ascii="仿宋_GB2312" w:hAnsi="仿宋" w:eastAsia="仿宋_GB2312" w:cs="Times New Roman"/>
          <w:kern w:val="2"/>
          <w:sz w:val="30"/>
          <w:szCs w:val="30"/>
        </w:rPr>
        <w:t>1.美育与其他学科融合的渗透研究；</w:t>
      </w:r>
    </w:p>
    <w:p>
      <w:pPr>
        <w:pStyle w:val="5"/>
        <w:snapToGrid w:val="0"/>
        <w:spacing w:before="0" w:beforeAutospacing="0" w:after="0" w:afterAutospacing="0" w:line="420" w:lineRule="exact"/>
        <w:ind w:firstLine="600" w:firstLineChars="200"/>
        <w:jc w:val="both"/>
        <w:rPr>
          <w:rFonts w:hint="eastAsia" w:ascii="仿宋_GB2312" w:hAnsi="仿宋" w:eastAsia="仿宋_GB2312" w:cs="Times New Roman"/>
          <w:kern w:val="2"/>
          <w:sz w:val="30"/>
          <w:szCs w:val="30"/>
        </w:rPr>
      </w:pPr>
      <w:r>
        <w:rPr>
          <w:rFonts w:hint="eastAsia" w:ascii="仿宋_GB2312" w:hAnsi="仿宋" w:eastAsia="仿宋_GB2312" w:cs="Times New Roman"/>
          <w:kern w:val="2"/>
          <w:sz w:val="30"/>
          <w:szCs w:val="30"/>
        </w:rPr>
        <w:t>2.国内外学校艺术教育发展比较研究；</w:t>
      </w:r>
    </w:p>
    <w:p>
      <w:pPr>
        <w:pStyle w:val="5"/>
        <w:snapToGrid w:val="0"/>
        <w:spacing w:before="0" w:beforeAutospacing="0" w:after="0" w:afterAutospacing="0" w:line="420" w:lineRule="exact"/>
        <w:ind w:firstLine="600" w:firstLineChars="200"/>
        <w:jc w:val="both"/>
        <w:rPr>
          <w:rFonts w:hint="eastAsia" w:ascii="仿宋_GB2312" w:hAnsi="仿宋" w:eastAsia="仿宋_GB2312" w:cs="Times New Roman"/>
          <w:kern w:val="2"/>
          <w:sz w:val="30"/>
          <w:szCs w:val="30"/>
        </w:rPr>
      </w:pPr>
      <w:r>
        <w:rPr>
          <w:rFonts w:hint="eastAsia" w:ascii="仿宋_GB2312" w:hAnsi="仿宋" w:eastAsia="仿宋_GB2312" w:cs="Times New Roman"/>
          <w:kern w:val="2"/>
          <w:sz w:val="30"/>
          <w:szCs w:val="30"/>
        </w:rPr>
        <w:t>3.学校美育的理论创新与发展研究；</w:t>
      </w:r>
    </w:p>
    <w:p>
      <w:pPr>
        <w:pStyle w:val="5"/>
        <w:snapToGrid w:val="0"/>
        <w:spacing w:before="0" w:beforeAutospacing="0" w:after="0" w:afterAutospacing="0" w:line="420" w:lineRule="exact"/>
        <w:ind w:firstLine="600" w:firstLineChars="200"/>
        <w:jc w:val="both"/>
        <w:rPr>
          <w:rFonts w:hint="eastAsia" w:ascii="仿宋_GB2312" w:hAnsi="仿宋" w:eastAsia="仿宋_GB2312" w:cs="Times New Roman"/>
          <w:kern w:val="2"/>
          <w:sz w:val="30"/>
          <w:szCs w:val="30"/>
        </w:rPr>
      </w:pPr>
      <w:r>
        <w:rPr>
          <w:rFonts w:hint="eastAsia" w:ascii="仿宋_GB2312" w:hAnsi="仿宋" w:eastAsia="仿宋_GB2312" w:cs="Times New Roman"/>
          <w:kern w:val="2"/>
          <w:sz w:val="30"/>
          <w:szCs w:val="30"/>
        </w:rPr>
        <w:t>4.大、中、小学艺术教育衔接的理论建构研究；</w:t>
      </w:r>
    </w:p>
    <w:p>
      <w:pPr>
        <w:pStyle w:val="5"/>
        <w:snapToGrid w:val="0"/>
        <w:spacing w:before="0" w:beforeAutospacing="0" w:after="0" w:afterAutospacing="0" w:line="420" w:lineRule="exact"/>
        <w:ind w:firstLine="600" w:firstLineChars="200"/>
        <w:jc w:val="both"/>
        <w:rPr>
          <w:rFonts w:hint="eastAsia" w:ascii="仿宋_GB2312" w:hAnsi="仿宋" w:eastAsia="仿宋_GB2312" w:cs="Times New Roman"/>
          <w:kern w:val="2"/>
          <w:sz w:val="30"/>
          <w:szCs w:val="30"/>
        </w:rPr>
      </w:pPr>
      <w:r>
        <w:rPr>
          <w:rFonts w:hint="eastAsia" w:ascii="仿宋_GB2312" w:hAnsi="仿宋" w:eastAsia="仿宋_GB2312" w:cs="Times New Roman"/>
          <w:kern w:val="2"/>
          <w:sz w:val="30"/>
          <w:szCs w:val="30"/>
        </w:rPr>
        <w:t>5.用社会主义核心价值观指导艺术育人实践;</w:t>
      </w:r>
    </w:p>
    <w:p>
      <w:pPr>
        <w:pStyle w:val="5"/>
        <w:snapToGrid w:val="0"/>
        <w:spacing w:before="0" w:beforeAutospacing="0" w:after="0" w:afterAutospacing="0" w:line="420" w:lineRule="exact"/>
        <w:ind w:firstLine="600" w:firstLineChars="200"/>
        <w:jc w:val="both"/>
        <w:rPr>
          <w:rFonts w:hint="eastAsia" w:ascii="仿宋_GB2312" w:hAnsi="仿宋" w:eastAsia="仿宋_GB2312" w:cs="Times New Roman"/>
          <w:kern w:val="2"/>
          <w:sz w:val="30"/>
          <w:szCs w:val="30"/>
        </w:rPr>
      </w:pPr>
      <w:r>
        <w:rPr>
          <w:rFonts w:hint="eastAsia" w:ascii="仿宋_GB2312" w:hAnsi="仿宋" w:eastAsia="仿宋_GB2312" w:cs="Times New Roman"/>
          <w:kern w:val="2"/>
          <w:sz w:val="30"/>
          <w:szCs w:val="30"/>
        </w:rPr>
        <w:t>6.美育与创新人才培养的关系；</w:t>
      </w:r>
    </w:p>
    <w:p>
      <w:pPr>
        <w:pStyle w:val="5"/>
        <w:snapToGrid w:val="0"/>
        <w:spacing w:before="0" w:beforeAutospacing="0" w:after="0" w:afterAutospacing="0" w:line="420" w:lineRule="exact"/>
        <w:ind w:firstLine="600" w:firstLineChars="200"/>
        <w:jc w:val="both"/>
        <w:rPr>
          <w:rFonts w:hint="eastAsia" w:ascii="仿宋_GB2312" w:hAnsi="仿宋" w:eastAsia="仿宋_GB2312" w:cs="Times New Roman"/>
          <w:kern w:val="2"/>
          <w:sz w:val="30"/>
          <w:szCs w:val="30"/>
        </w:rPr>
      </w:pPr>
      <w:r>
        <w:rPr>
          <w:rFonts w:hint="eastAsia" w:ascii="仿宋_GB2312" w:hAnsi="仿宋" w:eastAsia="仿宋_GB2312" w:cs="Times New Roman"/>
          <w:kern w:val="2"/>
          <w:sz w:val="30"/>
          <w:szCs w:val="30"/>
        </w:rPr>
        <w:t>7.</w:t>
      </w:r>
      <w:r>
        <w:rPr>
          <w:rFonts w:hint="eastAsia" w:ascii="仿宋_GB2312" w:hAnsi="仿宋" w:eastAsia="仿宋_GB2312" w:cs="Times New Roman"/>
          <w:kern w:val="2"/>
          <w:sz w:val="30"/>
          <w:szCs w:val="30"/>
        </w:rPr>
        <w:fldChar w:fldCharType="begin"/>
      </w:r>
      <w:r>
        <w:rPr>
          <w:rFonts w:hint="eastAsia" w:ascii="仿宋_GB2312" w:hAnsi="仿宋" w:eastAsia="仿宋_GB2312" w:cs="Times New Roman"/>
          <w:kern w:val="2"/>
          <w:sz w:val="30"/>
          <w:szCs w:val="30"/>
        </w:rPr>
        <w:instrText xml:space="preserve"> HYPERLINK "http://www.baidu.com/link?url=Iyt1wExijulNWcPOQWMQjS1kEQe70YLDh-gRCmNIvt_oBpSDc5abMJ5Ycw2JK0O7XLOyOz8PumjgtRa1ZM41ZiIRdlBgD5AwNgHz2bZ7qqm" \t "_blank" </w:instrText>
      </w:r>
      <w:r>
        <w:rPr>
          <w:rFonts w:hint="eastAsia" w:ascii="仿宋_GB2312" w:hAnsi="仿宋" w:eastAsia="仿宋_GB2312" w:cs="Times New Roman"/>
          <w:kern w:val="2"/>
          <w:sz w:val="30"/>
          <w:szCs w:val="30"/>
        </w:rPr>
        <w:fldChar w:fldCharType="separate"/>
      </w:r>
      <w:r>
        <w:rPr>
          <w:rFonts w:hint="eastAsia" w:ascii="仿宋_GB2312" w:hAnsi="仿宋" w:eastAsia="仿宋_GB2312" w:cs="Times New Roman"/>
          <w:kern w:val="2"/>
          <w:sz w:val="30"/>
          <w:szCs w:val="30"/>
        </w:rPr>
        <w:t>美育在中华民族优秀传统文化传承中的责任</w:t>
      </w:r>
      <w:r>
        <w:rPr>
          <w:rFonts w:hint="eastAsia" w:ascii="仿宋_GB2312" w:hAnsi="仿宋" w:eastAsia="仿宋_GB2312" w:cs="Times New Roman"/>
          <w:kern w:val="2"/>
          <w:sz w:val="30"/>
          <w:szCs w:val="30"/>
        </w:rPr>
        <w:fldChar w:fldCharType="end"/>
      </w:r>
      <w:r>
        <w:rPr>
          <w:rFonts w:hint="eastAsia" w:ascii="仿宋_GB2312" w:hAnsi="仿宋" w:eastAsia="仿宋_GB2312" w:cs="Times New Roman"/>
          <w:kern w:val="2"/>
          <w:sz w:val="30"/>
          <w:szCs w:val="30"/>
        </w:rPr>
        <w:t>。</w:t>
      </w:r>
    </w:p>
    <w:p>
      <w:pPr>
        <w:spacing w:line="420" w:lineRule="exact"/>
        <w:ind w:firstLine="600" w:firstLineChars="2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（二）学校艺术课程与教学改革</w:t>
      </w:r>
    </w:p>
    <w:p>
      <w:pPr>
        <w:pStyle w:val="5"/>
        <w:snapToGrid w:val="0"/>
        <w:spacing w:before="0" w:beforeAutospacing="0" w:after="0" w:afterAutospacing="0" w:line="420" w:lineRule="exact"/>
        <w:ind w:firstLine="600" w:firstLineChars="200"/>
        <w:jc w:val="both"/>
        <w:rPr>
          <w:rFonts w:hint="eastAsia" w:ascii="仿宋_GB2312" w:hAnsi="仿宋" w:eastAsia="仿宋_GB2312" w:cs="Times New Roman"/>
          <w:kern w:val="2"/>
          <w:sz w:val="30"/>
          <w:szCs w:val="30"/>
        </w:rPr>
      </w:pPr>
      <w:r>
        <w:rPr>
          <w:rFonts w:hint="eastAsia" w:ascii="仿宋_GB2312" w:hAnsi="仿宋" w:eastAsia="仿宋_GB2312" w:cs="Times New Roman"/>
          <w:kern w:val="2"/>
          <w:sz w:val="30"/>
          <w:szCs w:val="30"/>
        </w:rPr>
        <w:t>1.艺术课程改革的推进与创新研究；</w:t>
      </w:r>
    </w:p>
    <w:p>
      <w:pPr>
        <w:pStyle w:val="5"/>
        <w:snapToGrid w:val="0"/>
        <w:spacing w:before="0" w:beforeAutospacing="0" w:after="0" w:afterAutospacing="0" w:line="420" w:lineRule="exact"/>
        <w:ind w:firstLine="600" w:firstLineChars="200"/>
        <w:jc w:val="both"/>
        <w:rPr>
          <w:rFonts w:hint="eastAsia" w:ascii="仿宋_GB2312" w:hAnsi="仿宋" w:eastAsia="仿宋_GB2312" w:cs="Times New Roman"/>
          <w:kern w:val="2"/>
          <w:sz w:val="30"/>
          <w:szCs w:val="30"/>
        </w:rPr>
      </w:pPr>
      <w:r>
        <w:rPr>
          <w:rFonts w:hint="eastAsia" w:ascii="仿宋_GB2312" w:hAnsi="仿宋" w:eastAsia="仿宋_GB2312" w:cs="Times New Roman"/>
          <w:kern w:val="2"/>
          <w:sz w:val="30"/>
          <w:szCs w:val="30"/>
        </w:rPr>
        <w:t>2.艺术教学质量与学生艺术课程成绩的评价标准研究；</w:t>
      </w:r>
    </w:p>
    <w:p>
      <w:pPr>
        <w:pStyle w:val="5"/>
        <w:snapToGrid w:val="0"/>
        <w:spacing w:before="0" w:beforeAutospacing="0" w:after="0" w:afterAutospacing="0" w:line="420" w:lineRule="exact"/>
        <w:ind w:firstLine="600" w:firstLineChars="200"/>
        <w:jc w:val="both"/>
        <w:rPr>
          <w:rFonts w:hint="eastAsia" w:ascii="仿宋_GB2312" w:hAnsi="仿宋" w:eastAsia="仿宋_GB2312" w:cs="Times New Roman"/>
          <w:kern w:val="2"/>
          <w:sz w:val="30"/>
          <w:szCs w:val="30"/>
        </w:rPr>
      </w:pPr>
      <w:r>
        <w:rPr>
          <w:rFonts w:hint="eastAsia" w:ascii="仿宋_GB2312" w:hAnsi="仿宋" w:eastAsia="仿宋_GB2312" w:cs="Times New Roman"/>
          <w:kern w:val="2"/>
          <w:sz w:val="30"/>
          <w:szCs w:val="30"/>
        </w:rPr>
        <w:t>3.新兴艺术学科的教学实践与教材建设研究；</w:t>
      </w:r>
    </w:p>
    <w:p>
      <w:pPr>
        <w:pStyle w:val="5"/>
        <w:snapToGrid w:val="0"/>
        <w:spacing w:before="0" w:beforeAutospacing="0" w:after="0" w:afterAutospacing="0" w:line="420" w:lineRule="exact"/>
        <w:ind w:firstLine="600" w:firstLineChars="200"/>
        <w:jc w:val="both"/>
        <w:rPr>
          <w:rFonts w:hint="eastAsia" w:ascii="仿宋_GB2312" w:hAnsi="仿宋" w:eastAsia="仿宋_GB2312" w:cs="Times New Roman"/>
          <w:kern w:val="2"/>
          <w:sz w:val="30"/>
          <w:szCs w:val="30"/>
        </w:rPr>
      </w:pPr>
      <w:r>
        <w:rPr>
          <w:rFonts w:hint="eastAsia" w:ascii="仿宋_GB2312" w:hAnsi="仿宋" w:eastAsia="仿宋_GB2312" w:cs="Times New Roman"/>
          <w:kern w:val="2"/>
          <w:sz w:val="30"/>
          <w:szCs w:val="30"/>
        </w:rPr>
        <w:t>4.艺术</w:t>
      </w:r>
      <w:r>
        <w:rPr>
          <w:rFonts w:hint="eastAsia" w:ascii="仿宋_GB2312" w:hAnsi="仿宋" w:eastAsia="仿宋_GB2312"/>
          <w:sz w:val="30"/>
          <w:szCs w:val="30"/>
        </w:rPr>
        <w:t>课程模式和教学风格研究。</w:t>
      </w:r>
    </w:p>
    <w:p>
      <w:pPr>
        <w:pStyle w:val="5"/>
        <w:snapToGrid w:val="0"/>
        <w:spacing w:before="0" w:beforeAutospacing="0" w:after="0" w:afterAutospacing="0" w:line="420" w:lineRule="exact"/>
        <w:ind w:firstLine="600" w:firstLineChars="200"/>
        <w:jc w:val="both"/>
        <w:rPr>
          <w:rFonts w:hint="eastAsia" w:ascii="仿宋_GB2312" w:hAnsi="仿宋" w:eastAsia="仿宋_GB2312" w:cs="Times New Roman"/>
          <w:kern w:val="2"/>
          <w:sz w:val="30"/>
          <w:szCs w:val="30"/>
        </w:rPr>
      </w:pPr>
      <w:r>
        <w:rPr>
          <w:rFonts w:hint="eastAsia" w:ascii="仿宋_GB2312" w:hAnsi="仿宋" w:eastAsia="仿宋_GB2312" w:cs="Times New Roman"/>
          <w:kern w:val="2"/>
          <w:sz w:val="30"/>
          <w:szCs w:val="30"/>
        </w:rPr>
        <w:t>（三）学生课外艺术实践活动与展演机制研究</w:t>
      </w:r>
    </w:p>
    <w:p>
      <w:pPr>
        <w:pStyle w:val="5"/>
        <w:snapToGrid w:val="0"/>
        <w:spacing w:before="0" w:beforeAutospacing="0" w:after="0" w:afterAutospacing="0" w:line="420" w:lineRule="exact"/>
        <w:ind w:firstLine="600" w:firstLineChars="200"/>
        <w:jc w:val="both"/>
        <w:rPr>
          <w:rFonts w:hint="eastAsia" w:ascii="仿宋_GB2312" w:hAnsi="仿宋" w:eastAsia="仿宋_GB2312" w:cs="Times New Roman"/>
          <w:kern w:val="2"/>
          <w:sz w:val="30"/>
          <w:szCs w:val="30"/>
        </w:rPr>
      </w:pPr>
      <w:r>
        <w:rPr>
          <w:rFonts w:hint="eastAsia" w:ascii="仿宋_GB2312" w:hAnsi="仿宋" w:eastAsia="仿宋_GB2312" w:cs="Times New Roman"/>
          <w:kern w:val="2"/>
          <w:sz w:val="30"/>
          <w:szCs w:val="30"/>
        </w:rPr>
        <w:t>1.课外艺术活动的现状与发展趋势研究；</w:t>
      </w:r>
    </w:p>
    <w:p>
      <w:pPr>
        <w:pStyle w:val="5"/>
        <w:snapToGrid w:val="0"/>
        <w:spacing w:before="0" w:beforeAutospacing="0" w:after="0" w:afterAutospacing="0" w:line="420" w:lineRule="exact"/>
        <w:ind w:firstLine="600" w:firstLineChars="200"/>
        <w:jc w:val="both"/>
        <w:rPr>
          <w:rFonts w:hint="eastAsia" w:ascii="仿宋_GB2312" w:hAnsi="仿宋" w:eastAsia="仿宋_GB2312" w:cs="Times New Roman"/>
          <w:kern w:val="2"/>
          <w:sz w:val="30"/>
          <w:szCs w:val="30"/>
        </w:rPr>
      </w:pPr>
      <w:r>
        <w:rPr>
          <w:rFonts w:hint="eastAsia" w:ascii="仿宋_GB2312" w:hAnsi="仿宋" w:eastAsia="仿宋_GB2312" w:cs="Times New Roman"/>
          <w:kern w:val="2"/>
          <w:sz w:val="30"/>
          <w:szCs w:val="30"/>
        </w:rPr>
        <w:t>2.学校课外艺术活动与展演对学生身心发展影响研究；</w:t>
      </w:r>
    </w:p>
    <w:p>
      <w:pPr>
        <w:pStyle w:val="5"/>
        <w:snapToGrid w:val="0"/>
        <w:spacing w:before="0" w:beforeAutospacing="0" w:after="0" w:afterAutospacing="0" w:line="420" w:lineRule="exact"/>
        <w:ind w:firstLine="600" w:firstLineChars="200"/>
        <w:jc w:val="both"/>
        <w:rPr>
          <w:rFonts w:hint="eastAsia" w:ascii="仿宋_GB2312" w:hAnsi="仿宋" w:eastAsia="仿宋_GB2312" w:cs="Times New Roman"/>
          <w:kern w:val="2"/>
          <w:sz w:val="30"/>
          <w:szCs w:val="30"/>
        </w:rPr>
      </w:pPr>
      <w:r>
        <w:rPr>
          <w:rFonts w:hint="eastAsia" w:ascii="仿宋_GB2312" w:hAnsi="仿宋" w:eastAsia="仿宋_GB2312" w:cs="Times New Roman"/>
          <w:kern w:val="2"/>
          <w:sz w:val="30"/>
          <w:szCs w:val="30"/>
        </w:rPr>
        <w:t>3.艺术实践基地的发展研究；</w:t>
      </w:r>
    </w:p>
    <w:p>
      <w:pPr>
        <w:pStyle w:val="5"/>
        <w:snapToGrid w:val="0"/>
        <w:spacing w:before="0" w:beforeAutospacing="0" w:after="0" w:afterAutospacing="0" w:line="420" w:lineRule="exact"/>
        <w:ind w:firstLine="600" w:firstLineChars="200"/>
        <w:jc w:val="both"/>
        <w:rPr>
          <w:rFonts w:hint="eastAsia" w:ascii="仿宋_GB2312" w:hAnsi="仿宋" w:eastAsia="仿宋_GB2312" w:cs="Times New Roman"/>
          <w:kern w:val="2"/>
          <w:sz w:val="30"/>
          <w:szCs w:val="30"/>
        </w:rPr>
      </w:pPr>
      <w:r>
        <w:rPr>
          <w:rFonts w:hint="eastAsia" w:ascii="仿宋_GB2312" w:hAnsi="仿宋" w:eastAsia="仿宋_GB2312" w:cs="Times New Roman"/>
          <w:kern w:val="2"/>
          <w:sz w:val="30"/>
          <w:szCs w:val="30"/>
        </w:rPr>
        <w:t>4.强化艺术课和课外艺术活动的途径与实现方式研究；</w:t>
      </w:r>
    </w:p>
    <w:p>
      <w:pPr>
        <w:pStyle w:val="5"/>
        <w:snapToGrid w:val="0"/>
        <w:spacing w:before="0" w:beforeAutospacing="0" w:after="0" w:afterAutospacing="0" w:line="420" w:lineRule="exact"/>
        <w:ind w:firstLine="600" w:firstLineChars="200"/>
        <w:jc w:val="both"/>
        <w:rPr>
          <w:rFonts w:hint="eastAsia" w:ascii="仿宋_GB2312" w:hAnsi="仿宋" w:eastAsia="仿宋_GB2312" w:cs="Times New Roman"/>
          <w:kern w:val="2"/>
          <w:sz w:val="30"/>
          <w:szCs w:val="30"/>
        </w:rPr>
      </w:pPr>
      <w:r>
        <w:rPr>
          <w:rFonts w:hint="eastAsia" w:ascii="仿宋_GB2312" w:hAnsi="仿宋" w:eastAsia="仿宋_GB2312" w:cs="Times New Roman"/>
          <w:kern w:val="2"/>
          <w:sz w:val="30"/>
          <w:szCs w:val="30"/>
        </w:rPr>
        <w:t>5.学校艺术活动体系创新研究；</w:t>
      </w:r>
    </w:p>
    <w:p>
      <w:pPr>
        <w:pStyle w:val="5"/>
        <w:snapToGrid w:val="0"/>
        <w:spacing w:before="0" w:beforeAutospacing="0" w:after="0" w:afterAutospacing="0" w:line="420" w:lineRule="exact"/>
        <w:ind w:firstLine="600" w:firstLineChars="200"/>
        <w:jc w:val="both"/>
        <w:rPr>
          <w:rFonts w:hint="eastAsia" w:ascii="仿宋_GB2312" w:hAnsi="仿宋" w:eastAsia="仿宋_GB2312" w:cs="Times New Roman"/>
          <w:kern w:val="2"/>
          <w:sz w:val="30"/>
          <w:szCs w:val="30"/>
        </w:rPr>
      </w:pPr>
      <w:r>
        <w:rPr>
          <w:rFonts w:hint="eastAsia" w:ascii="仿宋_GB2312" w:hAnsi="仿宋" w:eastAsia="仿宋_GB2312" w:cs="Times New Roman"/>
          <w:kern w:val="2"/>
          <w:sz w:val="30"/>
          <w:szCs w:val="30"/>
        </w:rPr>
        <w:t>6.“文教结合”管理体制与运作机制研究。</w:t>
      </w:r>
    </w:p>
    <w:p>
      <w:pPr>
        <w:spacing w:line="420" w:lineRule="exact"/>
        <w:ind w:firstLine="600" w:firstLineChars="2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7.义务教育阶段学生掌握一至两项艺术特长推进策略研究；</w:t>
      </w:r>
    </w:p>
    <w:p>
      <w:pPr>
        <w:spacing w:line="420" w:lineRule="exact"/>
        <w:ind w:firstLine="600" w:firstLineChars="2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8.学校群众性艺术展演（艺术节）的组织与案例研究。</w:t>
      </w:r>
    </w:p>
    <w:p>
      <w:pPr>
        <w:spacing w:line="420" w:lineRule="exact"/>
        <w:ind w:firstLine="600" w:firstLineChars="2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（四）学生艺术团的发展研究</w:t>
      </w:r>
    </w:p>
    <w:p>
      <w:pPr>
        <w:spacing w:line="420" w:lineRule="exact"/>
        <w:ind w:firstLine="600" w:firstLineChars="2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1.学生艺术团的现状调查与发展对策研究；</w:t>
      </w:r>
    </w:p>
    <w:p>
      <w:pPr>
        <w:spacing w:line="420" w:lineRule="exact"/>
        <w:ind w:firstLine="600" w:firstLineChars="2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2.学生艺术团资源开发研究；</w:t>
      </w:r>
    </w:p>
    <w:p>
      <w:pPr>
        <w:spacing w:line="420" w:lineRule="exact"/>
        <w:ind w:firstLine="600" w:firstLineChars="2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3.高等学校高水平艺术团队可持续发展研究；</w:t>
      </w:r>
    </w:p>
    <w:p>
      <w:pPr>
        <w:spacing w:line="420" w:lineRule="exact"/>
        <w:ind w:firstLine="600" w:firstLineChars="2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4.学生艺术社团体制和运行机制的研究；</w:t>
      </w:r>
    </w:p>
    <w:p>
      <w:pPr>
        <w:spacing w:line="420" w:lineRule="exact"/>
        <w:ind w:firstLine="600" w:firstLineChars="2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（五）学校艺术与学生艺术人文素养的促进</w:t>
      </w:r>
    </w:p>
    <w:p>
      <w:pPr>
        <w:pStyle w:val="5"/>
        <w:snapToGrid w:val="0"/>
        <w:spacing w:before="0" w:beforeAutospacing="0" w:after="0" w:afterAutospacing="0" w:line="420" w:lineRule="exact"/>
        <w:ind w:firstLine="600" w:firstLineChars="200"/>
        <w:jc w:val="both"/>
        <w:rPr>
          <w:rFonts w:hint="eastAsia" w:ascii="仿宋_GB2312" w:hAnsi="仿宋" w:eastAsia="仿宋_GB2312" w:cs="Times New Roman"/>
          <w:kern w:val="2"/>
          <w:sz w:val="30"/>
          <w:szCs w:val="30"/>
        </w:rPr>
      </w:pPr>
      <w:r>
        <w:rPr>
          <w:rFonts w:hint="eastAsia" w:ascii="仿宋_GB2312" w:hAnsi="仿宋" w:eastAsia="仿宋_GB2312" w:cs="Times New Roman"/>
          <w:kern w:val="2"/>
          <w:sz w:val="30"/>
          <w:szCs w:val="30"/>
        </w:rPr>
        <w:t>1.学生艺术素养现状及评价方式的研究；</w:t>
      </w:r>
    </w:p>
    <w:p>
      <w:pPr>
        <w:spacing w:line="420" w:lineRule="exact"/>
        <w:ind w:firstLine="600" w:firstLineChars="2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2.提高学生人文艺术素养方式研究；</w:t>
      </w:r>
    </w:p>
    <w:p>
      <w:pPr>
        <w:spacing w:line="420" w:lineRule="exact"/>
        <w:ind w:firstLine="600" w:firstLineChars="2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3.推动学生艺术素养发展的的方法与手段研究；</w:t>
      </w:r>
    </w:p>
    <w:p>
      <w:pPr>
        <w:spacing w:line="420" w:lineRule="exact"/>
        <w:ind w:firstLine="600" w:firstLineChars="2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4.艺术教育环境和氛围的构建。</w:t>
      </w:r>
    </w:p>
    <w:p>
      <w:pPr>
        <w:pStyle w:val="5"/>
        <w:snapToGrid w:val="0"/>
        <w:spacing w:before="0" w:beforeAutospacing="0" w:after="0" w:afterAutospacing="0" w:line="420" w:lineRule="exact"/>
        <w:ind w:firstLine="600" w:firstLineChars="200"/>
        <w:jc w:val="both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（六）学校艺术管理与保障机制</w:t>
      </w:r>
    </w:p>
    <w:p>
      <w:pPr>
        <w:pStyle w:val="5"/>
        <w:snapToGrid w:val="0"/>
        <w:spacing w:before="0" w:beforeAutospacing="0" w:after="0" w:afterAutospacing="0" w:line="420" w:lineRule="exact"/>
        <w:ind w:firstLine="600" w:firstLineChars="200"/>
        <w:jc w:val="both"/>
        <w:rPr>
          <w:rFonts w:hint="eastAsia" w:ascii="仿宋_GB2312" w:hAnsi="仿宋" w:eastAsia="仿宋_GB2312" w:cs="Times New Roman"/>
          <w:kern w:val="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1</w:t>
      </w:r>
      <w:r>
        <w:rPr>
          <w:rFonts w:hint="eastAsia" w:ascii="仿宋_GB2312" w:hAnsi="仿宋" w:eastAsia="仿宋_GB2312" w:cs="Times New Roman"/>
          <w:kern w:val="2"/>
          <w:sz w:val="30"/>
          <w:szCs w:val="30"/>
        </w:rPr>
        <w:t>.学校艺术师资队伍建设研究；</w:t>
      </w:r>
    </w:p>
    <w:p>
      <w:pPr>
        <w:pStyle w:val="5"/>
        <w:snapToGrid w:val="0"/>
        <w:spacing w:before="0" w:beforeAutospacing="0" w:after="0" w:afterAutospacing="0" w:line="420" w:lineRule="exact"/>
        <w:ind w:firstLine="600" w:firstLineChars="200"/>
        <w:jc w:val="both"/>
        <w:rPr>
          <w:rFonts w:hint="eastAsia" w:ascii="仿宋_GB2312" w:hAnsi="仿宋" w:eastAsia="仿宋_GB2312" w:cs="Times New Roman"/>
          <w:kern w:val="2"/>
          <w:sz w:val="30"/>
          <w:szCs w:val="30"/>
        </w:rPr>
      </w:pPr>
      <w:r>
        <w:rPr>
          <w:rFonts w:hint="eastAsia" w:ascii="仿宋_GB2312" w:hAnsi="仿宋" w:eastAsia="仿宋_GB2312" w:cs="Times New Roman"/>
          <w:kern w:val="2"/>
          <w:sz w:val="30"/>
          <w:szCs w:val="30"/>
        </w:rPr>
        <w:t>2.信息技术在艺术教学、展演、科研和管理中的应用研究；</w:t>
      </w:r>
    </w:p>
    <w:p>
      <w:pPr>
        <w:pStyle w:val="5"/>
        <w:snapToGrid w:val="0"/>
        <w:spacing w:before="0" w:beforeAutospacing="0" w:after="0" w:afterAutospacing="0" w:line="420" w:lineRule="exact"/>
        <w:ind w:firstLine="600" w:firstLineChars="200"/>
        <w:jc w:val="both"/>
        <w:rPr>
          <w:rFonts w:hint="eastAsia" w:ascii="仿宋_GB2312" w:hAnsi="仿宋" w:eastAsia="仿宋_GB2312" w:cs="Times New Roman"/>
          <w:kern w:val="2"/>
          <w:sz w:val="30"/>
          <w:szCs w:val="30"/>
        </w:rPr>
      </w:pPr>
      <w:r>
        <w:rPr>
          <w:rFonts w:hint="eastAsia" w:ascii="仿宋_GB2312" w:hAnsi="仿宋" w:eastAsia="仿宋_GB2312" w:cs="Times New Roman"/>
          <w:kern w:val="2"/>
          <w:sz w:val="30"/>
          <w:szCs w:val="30"/>
        </w:rPr>
        <w:t>3.学校艺术政策、法规的贯彻实施与改革完善研究；</w:t>
      </w:r>
    </w:p>
    <w:p>
      <w:pPr>
        <w:pStyle w:val="5"/>
        <w:snapToGrid w:val="0"/>
        <w:spacing w:before="0" w:beforeAutospacing="0" w:after="0" w:afterAutospacing="0" w:line="420" w:lineRule="exact"/>
        <w:ind w:firstLine="600" w:firstLineChars="200"/>
        <w:jc w:val="both"/>
        <w:rPr>
          <w:rFonts w:hint="eastAsia" w:ascii="仿宋_GB2312" w:hAnsi="仿宋" w:eastAsia="仿宋_GB2312" w:cs="Times New Roman"/>
          <w:kern w:val="2"/>
          <w:sz w:val="30"/>
          <w:szCs w:val="30"/>
        </w:rPr>
      </w:pPr>
      <w:r>
        <w:rPr>
          <w:rFonts w:hint="eastAsia" w:ascii="仿宋_GB2312" w:hAnsi="仿宋" w:eastAsia="仿宋_GB2312" w:cs="Times New Roman"/>
          <w:kern w:val="2"/>
          <w:sz w:val="30"/>
          <w:szCs w:val="30"/>
        </w:rPr>
        <w:t>4.建立学校艺术工作质量监督、评价及报告制度研究；</w:t>
      </w:r>
    </w:p>
    <w:p>
      <w:pPr>
        <w:pStyle w:val="5"/>
        <w:snapToGrid w:val="0"/>
        <w:spacing w:before="0" w:beforeAutospacing="0" w:after="0" w:afterAutospacing="0" w:line="420" w:lineRule="exact"/>
        <w:ind w:firstLine="600" w:firstLineChars="200"/>
        <w:jc w:val="both"/>
        <w:rPr>
          <w:rFonts w:hint="eastAsia" w:ascii="仿宋_GB2312" w:hAnsi="仿宋" w:eastAsia="仿宋_GB2312" w:cs="Times New Roman"/>
          <w:kern w:val="2"/>
          <w:sz w:val="30"/>
          <w:szCs w:val="30"/>
        </w:rPr>
      </w:pPr>
      <w:r>
        <w:rPr>
          <w:rFonts w:hint="eastAsia" w:ascii="仿宋_GB2312" w:hAnsi="仿宋" w:eastAsia="仿宋_GB2312" w:cs="Times New Roman"/>
          <w:kern w:val="2"/>
          <w:sz w:val="30"/>
          <w:szCs w:val="30"/>
        </w:rPr>
        <w:t>5.加强远郊农村学校美育教育工作的研究；</w:t>
      </w:r>
    </w:p>
    <w:p>
      <w:pPr>
        <w:pStyle w:val="5"/>
        <w:snapToGrid w:val="0"/>
        <w:spacing w:before="0" w:beforeAutospacing="0" w:after="0" w:afterAutospacing="0" w:line="420" w:lineRule="exact"/>
        <w:ind w:firstLine="600" w:firstLineChars="200"/>
        <w:jc w:val="both"/>
        <w:rPr>
          <w:rFonts w:hint="eastAsia" w:ascii="仿宋_GB2312" w:hAnsi="仿宋" w:eastAsia="仿宋_GB2312" w:cs="Times New Roman"/>
          <w:kern w:val="2"/>
          <w:sz w:val="30"/>
          <w:szCs w:val="30"/>
        </w:rPr>
      </w:pPr>
      <w:r>
        <w:rPr>
          <w:rFonts w:hint="eastAsia" w:ascii="仿宋_GB2312" w:hAnsi="仿宋" w:eastAsia="仿宋_GB2312" w:cs="Times New Roman"/>
          <w:kern w:val="2"/>
          <w:sz w:val="30"/>
          <w:szCs w:val="30"/>
        </w:rPr>
        <w:t>6.学校艺术场地、器乐配置标准研究；</w:t>
      </w:r>
    </w:p>
    <w:p>
      <w:pPr>
        <w:pStyle w:val="5"/>
        <w:snapToGrid w:val="0"/>
        <w:spacing w:before="0" w:beforeAutospacing="0" w:after="0" w:afterAutospacing="0" w:line="420" w:lineRule="exact"/>
        <w:ind w:firstLine="600" w:firstLineChars="200"/>
        <w:jc w:val="both"/>
        <w:rPr>
          <w:rFonts w:hint="eastAsia" w:ascii="仿宋_GB2312" w:hAnsi="仿宋" w:eastAsia="仿宋_GB2312" w:cs="Times New Roman"/>
          <w:kern w:val="2"/>
          <w:sz w:val="30"/>
          <w:szCs w:val="30"/>
        </w:rPr>
      </w:pPr>
      <w:r>
        <w:rPr>
          <w:rFonts w:hint="eastAsia" w:ascii="仿宋_GB2312" w:hAnsi="仿宋" w:eastAsia="仿宋_GB2312" w:cs="Times New Roman"/>
          <w:kern w:val="2"/>
          <w:sz w:val="30"/>
          <w:szCs w:val="30"/>
        </w:rPr>
        <w:t>7.学校艺术场馆、设施管理与运行模式研究。</w:t>
      </w:r>
    </w:p>
    <w:p>
      <w:pPr>
        <w:pStyle w:val="5"/>
        <w:snapToGrid w:val="0"/>
        <w:spacing w:before="0" w:beforeAutospacing="0" w:after="0" w:afterAutospacing="0" w:line="420" w:lineRule="exact"/>
        <w:ind w:firstLine="600" w:firstLineChars="200"/>
        <w:jc w:val="both"/>
        <w:rPr>
          <w:rFonts w:hint="eastAsia" w:ascii="仿宋_GB2312" w:hAnsi="仿宋" w:eastAsia="仿宋_GB2312" w:cs="Times New Roman"/>
          <w:kern w:val="2"/>
          <w:sz w:val="30"/>
          <w:szCs w:val="30"/>
        </w:rPr>
      </w:pPr>
      <w:r>
        <w:rPr>
          <w:rFonts w:hint="eastAsia" w:ascii="仿宋_GB2312" w:hAnsi="仿宋" w:eastAsia="仿宋_GB2312" w:cs="Times New Roman"/>
          <w:kern w:val="2"/>
          <w:sz w:val="30"/>
          <w:szCs w:val="30"/>
        </w:rPr>
        <w:t>（七）学校美育的督导研究</w:t>
      </w:r>
    </w:p>
    <w:p>
      <w:pPr>
        <w:pStyle w:val="2"/>
        <w:widowControl w:val="0"/>
        <w:spacing w:before="0" w:beforeAutospacing="0" w:after="0" w:afterAutospacing="0" w:line="420" w:lineRule="exact"/>
        <w:ind w:firstLine="600" w:firstLineChars="200"/>
        <w:jc w:val="both"/>
        <w:rPr>
          <w:rFonts w:hint="eastAsia" w:ascii="黑体" w:hAnsi="仿宋" w:eastAsia="黑体"/>
          <w:sz w:val="30"/>
          <w:szCs w:val="30"/>
        </w:rPr>
      </w:pPr>
      <w:r>
        <w:rPr>
          <w:rFonts w:hint="eastAsia" w:ascii="黑体" w:hAnsi="仿宋" w:eastAsia="黑体"/>
          <w:sz w:val="30"/>
          <w:szCs w:val="30"/>
        </w:rPr>
        <w:t>三、注意事项</w:t>
      </w:r>
    </w:p>
    <w:p>
      <w:pPr>
        <w:pStyle w:val="2"/>
        <w:widowControl w:val="0"/>
        <w:spacing w:before="0" w:beforeAutospacing="0" w:after="0" w:afterAutospacing="0" w:line="420" w:lineRule="exact"/>
        <w:ind w:firstLine="600" w:firstLineChars="200"/>
        <w:jc w:val="both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（一）以上所列只是对重点研究内容和方向的提示，申报人可根据自己的研究特长自行拟定研究题目。</w:t>
      </w:r>
    </w:p>
    <w:p>
      <w:pPr>
        <w:pStyle w:val="2"/>
        <w:widowControl w:val="0"/>
        <w:spacing w:before="0" w:beforeAutospacing="0" w:after="0" w:afterAutospacing="0" w:line="420" w:lineRule="exact"/>
        <w:ind w:firstLine="600" w:firstLineChars="200"/>
        <w:jc w:val="both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（二）申报人尽量不要使用指南中提示的研究方向作为标题，以避免申报题目的集中与重复。</w:t>
      </w:r>
    </w:p>
    <w:p>
      <w:pPr>
        <w:pStyle w:val="2"/>
        <w:widowControl w:val="0"/>
        <w:spacing w:before="0" w:beforeAutospacing="0" w:after="0" w:afterAutospacing="0" w:line="420" w:lineRule="exact"/>
        <w:ind w:firstLine="600" w:firstLineChars="200"/>
        <w:jc w:val="both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（三）申报的选题应在指南基础上进一步综合、深化、细化，注意研究的区别和特色，增强针对性和适用性，避免一般化和同化研究。</w:t>
      </w:r>
    </w:p>
    <w:p>
      <w:pPr>
        <w:pStyle w:val="2"/>
        <w:widowControl w:val="0"/>
        <w:spacing w:before="0" w:beforeAutospacing="0" w:after="0" w:afterAutospacing="0" w:line="420" w:lineRule="exact"/>
        <w:ind w:firstLine="600" w:firstLineChars="200"/>
        <w:jc w:val="both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（四）鼓励针对学校</w:t>
      </w:r>
      <w:r>
        <w:rPr>
          <w:rFonts w:hint="eastAsia" w:ascii="仿宋_GB2312" w:hAnsi="仿宋" w:eastAsia="仿宋_GB2312" w:cs="Times New Roman"/>
          <w:kern w:val="2"/>
          <w:sz w:val="30"/>
          <w:szCs w:val="30"/>
        </w:rPr>
        <w:t>艺术</w:t>
      </w:r>
      <w:r>
        <w:rPr>
          <w:rFonts w:hint="eastAsia" w:ascii="仿宋_GB2312" w:hAnsi="仿宋" w:eastAsia="仿宋_GB2312"/>
          <w:sz w:val="30"/>
          <w:szCs w:val="30"/>
        </w:rPr>
        <w:t>事业发展中的重大、敏感问题的研究；鼓励围绕相关问题的中外比较研究；鼓励在内容和角度上有所创新、填补空白的研究；鼓励开展跨学科的研究；鼓励大中小学开展合作研究；鼓励团队合作开展的研究。</w:t>
      </w:r>
    </w:p>
    <w:p>
      <w:pPr>
        <w:spacing w:line="560" w:lineRule="exact"/>
        <w:rPr>
          <w:rFonts w:hint="eastAsia" w:ascii="黑体" w:eastAsia="黑体"/>
          <w:sz w:val="32"/>
        </w:rPr>
      </w:pPr>
    </w:p>
    <w:p>
      <w:pPr>
        <w:spacing w:line="560" w:lineRule="exact"/>
        <w:rPr>
          <w:rFonts w:hint="eastAsia" w:ascii="黑体" w:eastAsia="黑体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鼎大标宋简">
    <w:altName w:val="Arial Unicode MS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B52D7"/>
    <w:rsid w:val="16FB52D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">
    <w:name w:val="titl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2017-03-16T03:10:00Z</dcterms:created>
  <dc:creator>Administrator</dc:creator>
  <cp:lastModifiedBy>Administrator</cp:lastModifiedBy>
  <dcterms:modified xsi:type="dcterms:W3CDTF">2017-03-16T03:11:02Z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